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32"/>
          <w:szCs w:val="32"/>
          <w:highlight w:val="none"/>
        </w:rPr>
      </w:pPr>
      <w:r>
        <w:rPr>
          <w:rFonts w:hint="eastAsia" w:ascii="宋体" w:hAnsi="宋体" w:eastAsia="宋体" w:cs="宋体"/>
          <w:b/>
          <w:bCs w:val="0"/>
          <w:color w:val="auto"/>
          <w:sz w:val="52"/>
          <w:szCs w:val="52"/>
          <w:highlight w:val="none"/>
        </w:rPr>
        <w:t>招 标 公 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周口市贾鲁嘉苑、金海嘉苑、建设嘉苑项目3标段</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val="en-US" w:eastAsia="zh-CN"/>
        </w:rPr>
        <w:t>塑钢门窗制作、安装工程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64" w:firstLineChars="200"/>
        <w:jc w:val="left"/>
        <w:textAlignment w:val="auto"/>
        <w:rPr>
          <w:rFonts w:hint="eastAsia" w:ascii="宋体" w:hAnsi="宋体" w:eastAsia="宋体" w:cs="宋体"/>
          <w:color w:val="auto"/>
          <w:spacing w:val="0"/>
          <w:w w:val="100"/>
          <w:sz w:val="21"/>
          <w:szCs w:val="21"/>
          <w:highlight w:val="none"/>
          <w:u w:val="none"/>
          <w:lang w:bidi="ar"/>
        </w:rPr>
      </w:pPr>
      <w:r>
        <w:rPr>
          <w:rFonts w:hint="eastAsia" w:ascii="宋体" w:hAnsi="宋体" w:eastAsia="宋体" w:cs="宋体"/>
          <w:color w:val="auto"/>
          <w:spacing w:val="11"/>
          <w:sz w:val="21"/>
          <w:szCs w:val="21"/>
          <w:highlight w:val="none"/>
          <w:lang w:bidi="ar"/>
        </w:rPr>
        <w:t xml:space="preserve"> </w:t>
      </w:r>
      <w:r>
        <w:rPr>
          <w:rFonts w:hint="eastAsia" w:ascii="宋体" w:hAnsi="宋体" w:eastAsia="宋体" w:cs="宋体"/>
          <w:b/>
          <w:color w:val="auto"/>
          <w:spacing w:val="0"/>
          <w:w w:val="100"/>
          <w:sz w:val="21"/>
          <w:szCs w:val="21"/>
          <w:highlight w:val="none"/>
          <w:u w:val="single"/>
          <w:lang w:bidi="ar"/>
        </w:rPr>
        <w:t>河北建工集团有限责任公司</w:t>
      </w:r>
      <w:r>
        <w:rPr>
          <w:rFonts w:hint="eastAsia" w:ascii="宋体" w:hAnsi="宋体" w:eastAsia="宋体" w:cs="宋体"/>
          <w:color w:val="auto"/>
          <w:spacing w:val="0"/>
          <w:w w:val="100"/>
          <w:sz w:val="21"/>
          <w:szCs w:val="21"/>
          <w:highlight w:val="none"/>
          <w:lang w:bidi="ar"/>
        </w:rPr>
        <w:t>现对</w:t>
      </w:r>
      <w:r>
        <w:rPr>
          <w:rFonts w:hint="eastAsia" w:ascii="宋体" w:hAnsi="宋体" w:eastAsia="宋体" w:cs="宋体"/>
          <w:b/>
          <w:bCs/>
          <w:color w:val="auto"/>
          <w:spacing w:val="0"/>
          <w:w w:val="100"/>
          <w:sz w:val="21"/>
          <w:szCs w:val="21"/>
          <w:highlight w:val="none"/>
          <w:u w:val="single"/>
          <w:lang w:bidi="ar"/>
        </w:rPr>
        <w:t>周口市贾鲁嘉苑、金海嘉苑、建设嘉苑项目3标段塑钢门窗</w:t>
      </w:r>
      <w:r>
        <w:rPr>
          <w:rFonts w:hint="eastAsia" w:cs="宋体"/>
          <w:b/>
          <w:bCs/>
          <w:color w:val="auto"/>
          <w:spacing w:val="0"/>
          <w:w w:val="100"/>
          <w:sz w:val="21"/>
          <w:szCs w:val="21"/>
          <w:highlight w:val="none"/>
          <w:u w:val="single"/>
          <w:lang w:eastAsia="zh-CN" w:bidi="ar"/>
        </w:rPr>
        <w:t>制作、安装工程</w:t>
      </w:r>
      <w:r>
        <w:rPr>
          <w:rFonts w:hint="eastAsia" w:ascii="宋体" w:hAnsi="宋体" w:eastAsia="宋体" w:cs="宋体"/>
          <w:color w:val="auto"/>
          <w:spacing w:val="0"/>
          <w:w w:val="100"/>
          <w:sz w:val="21"/>
          <w:szCs w:val="21"/>
          <w:highlight w:val="none"/>
          <w:u w:val="none"/>
          <w:lang w:bidi="ar"/>
        </w:rPr>
        <w:t>进行招标，欢迎符合条件的承包人参加投标。现将有关招标事项公告如下：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2"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b/>
          <w:bCs/>
          <w:color w:val="auto"/>
          <w:spacing w:val="0"/>
          <w:w w:val="100"/>
          <w:sz w:val="21"/>
          <w:szCs w:val="21"/>
          <w:highlight w:val="none"/>
          <w:u w:val="none"/>
          <w:lang w:val="en-US" w:eastAsia="zh-CN" w:bidi="ar"/>
        </w:rPr>
        <w:t>1、</w:t>
      </w:r>
      <w:r>
        <w:rPr>
          <w:rFonts w:hint="eastAsia" w:ascii="宋体" w:hAnsi="宋体" w:eastAsia="宋体" w:cs="宋体"/>
          <w:b/>
          <w:bCs/>
          <w:color w:val="auto"/>
          <w:spacing w:val="0"/>
          <w:w w:val="100"/>
          <w:sz w:val="21"/>
          <w:szCs w:val="21"/>
          <w:highlight w:val="none"/>
          <w:u w:val="none"/>
          <w:lang w:bidi="ar"/>
        </w:rPr>
        <w:t>工程概况：</w:t>
      </w:r>
      <w:r>
        <w:rPr>
          <w:rFonts w:hint="eastAsia" w:ascii="宋体" w:hAnsi="宋体" w:eastAsia="宋体" w:cs="宋体"/>
          <w:color w:val="auto"/>
          <w:spacing w:val="0"/>
          <w:w w:val="100"/>
          <w:sz w:val="21"/>
          <w:szCs w:val="21"/>
          <w:highlight w:val="none"/>
          <w:u w:val="none"/>
          <w:lang w:val="en-US" w:eastAsia="zh-CN" w:bidi="ar"/>
        </w:rPr>
        <w:t>周口市贾鲁嘉苑、金海嘉苑、建设嘉苑项目3标段由11栋高层住宅楼、车库、幼儿园、临街商铺组成，总建筑面积为199</w:t>
      </w:r>
      <w:r>
        <w:rPr>
          <w:rFonts w:hint="eastAsia" w:cs="宋体"/>
          <w:color w:val="auto"/>
          <w:spacing w:val="0"/>
          <w:w w:val="100"/>
          <w:sz w:val="21"/>
          <w:szCs w:val="21"/>
          <w:highlight w:val="none"/>
          <w:u w:val="none"/>
          <w:lang w:val="en-US" w:eastAsia="zh-CN" w:bidi="ar"/>
        </w:rPr>
        <w:t>407.34</w:t>
      </w:r>
      <w:r>
        <w:rPr>
          <w:rFonts w:hint="eastAsia" w:ascii="宋体" w:hAnsi="宋体" w:eastAsia="宋体" w:cs="宋体"/>
          <w:color w:val="auto"/>
          <w:spacing w:val="0"/>
          <w:w w:val="100"/>
          <w:sz w:val="21"/>
          <w:szCs w:val="21"/>
          <w:highlight w:val="none"/>
          <w:u w:val="none"/>
          <w:lang w:val="en-US" w:eastAsia="zh-CN" w:bidi="ar"/>
        </w:rPr>
        <w:t>平米，其中地</w:t>
      </w:r>
      <w:bookmarkStart w:id="0" w:name="_GoBack"/>
      <w:bookmarkEnd w:id="0"/>
      <w:r>
        <w:rPr>
          <w:rFonts w:hint="eastAsia" w:ascii="宋体" w:hAnsi="宋体" w:eastAsia="宋体" w:cs="宋体"/>
          <w:color w:val="auto"/>
          <w:spacing w:val="0"/>
          <w:w w:val="100"/>
          <w:sz w:val="21"/>
          <w:szCs w:val="21"/>
          <w:highlight w:val="none"/>
          <w:u w:val="none"/>
          <w:lang w:val="en-US" w:eastAsia="zh-CN" w:bidi="ar"/>
        </w:rPr>
        <w:t>下建筑面积为41099.06平米。</w:t>
      </w:r>
      <w:r>
        <w:rPr>
          <w:rFonts w:hint="eastAsia" w:ascii="宋体" w:hAnsi="宋体" w:eastAsia="宋体" w:cs="宋体"/>
          <w:color w:val="auto"/>
          <w:spacing w:val="0"/>
          <w:w w:val="100"/>
          <w:sz w:val="21"/>
          <w:szCs w:val="21"/>
          <w:highlight w:val="none"/>
          <w:u w:val="none"/>
          <w:lang w:eastAsia="zh-CN" w:bidi="ar"/>
        </w:rPr>
        <w:t>本次招标</w:t>
      </w:r>
      <w:r>
        <w:rPr>
          <w:rFonts w:hint="eastAsia" w:cs="宋体"/>
          <w:color w:val="auto"/>
          <w:spacing w:val="0"/>
          <w:w w:val="100"/>
          <w:sz w:val="21"/>
          <w:szCs w:val="21"/>
          <w:highlight w:val="none"/>
          <w:u w:val="none"/>
          <w:lang w:eastAsia="zh-CN" w:bidi="ar"/>
        </w:rPr>
        <w:t>的</w:t>
      </w:r>
      <w:r>
        <w:rPr>
          <w:rFonts w:hint="eastAsia" w:ascii="宋体" w:hAnsi="宋体" w:eastAsia="宋体" w:cs="宋体"/>
          <w:color w:val="auto"/>
          <w:spacing w:val="0"/>
          <w:w w:val="100"/>
          <w:sz w:val="21"/>
          <w:szCs w:val="21"/>
          <w:highlight w:val="none"/>
          <w:u w:val="none"/>
          <w:lang w:eastAsia="zh-CN" w:bidi="ar"/>
        </w:rPr>
        <w:t>范围包括</w:t>
      </w:r>
      <w:r>
        <w:rPr>
          <w:rFonts w:hint="eastAsia" w:cs="宋体"/>
          <w:color w:val="auto"/>
          <w:spacing w:val="0"/>
          <w:w w:val="100"/>
          <w:sz w:val="21"/>
          <w:szCs w:val="21"/>
          <w:highlight w:val="none"/>
          <w:u w:val="none"/>
          <w:lang w:val="en-US" w:eastAsia="zh-CN" w:bidi="ar"/>
        </w:rPr>
        <w:t>6</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8</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9</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10</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11</w:t>
      </w:r>
      <w:r>
        <w:rPr>
          <w:rFonts w:hint="eastAsia" w:ascii="宋体" w:hAnsi="宋体" w:eastAsia="宋体" w:cs="宋体"/>
          <w:color w:val="auto"/>
          <w:spacing w:val="0"/>
          <w:w w:val="100"/>
          <w:sz w:val="21"/>
          <w:szCs w:val="21"/>
          <w:highlight w:val="none"/>
          <w:u w:val="none"/>
          <w:lang w:val="en-US" w:eastAsia="zh-CN" w:bidi="ar"/>
        </w:rPr>
        <w:t>#楼及其附属车库</w:t>
      </w:r>
      <w:r>
        <w:rPr>
          <w:rFonts w:hint="eastAsia" w:cs="宋体"/>
          <w:color w:val="auto"/>
          <w:spacing w:val="0"/>
          <w:w w:val="100"/>
          <w:sz w:val="21"/>
          <w:szCs w:val="21"/>
          <w:highlight w:val="none"/>
          <w:u w:val="none"/>
          <w:lang w:val="en-US" w:eastAsia="zh-CN" w:bidi="ar"/>
        </w:rPr>
        <w:t>、临街商铺、物业用房。</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2" w:firstLineChars="200"/>
        <w:jc w:val="left"/>
        <w:textAlignment w:val="auto"/>
        <w:rPr>
          <w:rFonts w:hint="eastAsia" w:cs="宋体"/>
          <w:color w:val="auto"/>
          <w:spacing w:val="0"/>
          <w:w w:val="100"/>
          <w:sz w:val="21"/>
          <w:szCs w:val="21"/>
          <w:highlight w:val="none"/>
          <w:u w:val="none"/>
          <w:lang w:val="en-US" w:eastAsia="zh-CN" w:bidi="ar"/>
        </w:rPr>
      </w:pPr>
      <w:r>
        <w:rPr>
          <w:rFonts w:hint="eastAsia" w:ascii="宋体" w:hAnsi="宋体" w:eastAsia="宋体" w:cs="宋体"/>
          <w:b/>
          <w:bCs/>
          <w:color w:val="auto"/>
          <w:spacing w:val="0"/>
          <w:w w:val="100"/>
          <w:sz w:val="21"/>
          <w:szCs w:val="21"/>
          <w:highlight w:val="none"/>
          <w:u w:val="none"/>
          <w:lang w:val="en-US" w:eastAsia="zh-CN" w:bidi="ar"/>
        </w:rPr>
        <w:t>2、项目地点：</w:t>
      </w:r>
      <w:r>
        <w:rPr>
          <w:rFonts w:hint="eastAsia" w:ascii="宋体" w:hAnsi="宋体" w:eastAsia="宋体" w:cs="宋体"/>
          <w:color w:val="auto"/>
          <w:spacing w:val="0"/>
          <w:w w:val="100"/>
          <w:sz w:val="21"/>
          <w:szCs w:val="21"/>
          <w:highlight w:val="none"/>
          <w:u w:val="none"/>
          <w:lang w:val="en-US" w:eastAsia="zh-CN" w:bidi="ar"/>
        </w:rPr>
        <w:t>河南省周口市川汇区中州大道与太清路交叉口西南角</w:t>
      </w:r>
      <w:r>
        <w:rPr>
          <w:rFonts w:hint="eastAsia" w:cs="宋体"/>
          <w:color w:val="auto"/>
          <w:spacing w:val="0"/>
          <w:w w:val="100"/>
          <w:sz w:val="21"/>
          <w:szCs w:val="21"/>
          <w:highlight w:val="none"/>
          <w:u w:val="none"/>
          <w:lang w:val="en-US" w:eastAsia="zh-CN" w:bidi="ar"/>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2" w:firstLineChars="200"/>
        <w:jc w:val="left"/>
        <w:textAlignment w:val="auto"/>
        <w:rPr>
          <w:rFonts w:hint="eastAsia" w:cs="宋体"/>
          <w:color w:val="auto"/>
          <w:spacing w:val="0"/>
          <w:w w:val="100"/>
          <w:sz w:val="21"/>
          <w:szCs w:val="21"/>
          <w:highlight w:val="none"/>
          <w:u w:val="none"/>
          <w:lang w:val="en-US" w:eastAsia="zh-CN" w:bidi="ar"/>
        </w:rPr>
      </w:pPr>
      <w:r>
        <w:rPr>
          <w:rFonts w:hint="eastAsia" w:ascii="宋体" w:hAnsi="宋体" w:eastAsia="宋体" w:cs="宋体"/>
          <w:b/>
          <w:bCs/>
          <w:color w:val="auto"/>
          <w:spacing w:val="0"/>
          <w:w w:val="100"/>
          <w:sz w:val="21"/>
          <w:szCs w:val="21"/>
          <w:highlight w:val="none"/>
          <w:u w:val="none"/>
          <w:lang w:val="en-US" w:eastAsia="zh-CN" w:bidi="ar"/>
        </w:rPr>
        <w:t>3、招标范围：</w:t>
      </w:r>
      <w:r>
        <w:rPr>
          <w:rFonts w:hint="eastAsia" w:cs="宋体"/>
          <w:color w:val="auto"/>
          <w:spacing w:val="0"/>
          <w:w w:val="100"/>
          <w:sz w:val="21"/>
          <w:szCs w:val="21"/>
          <w:highlight w:val="none"/>
          <w:u w:val="none"/>
          <w:lang w:val="en-US" w:eastAsia="zh-CN" w:bidi="ar"/>
        </w:rPr>
        <w:t>6</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8</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9</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10</w:t>
      </w:r>
      <w:r>
        <w:rPr>
          <w:rFonts w:hint="eastAsia" w:ascii="宋体" w:hAnsi="宋体" w:eastAsia="宋体" w:cs="宋体"/>
          <w:color w:val="auto"/>
          <w:spacing w:val="0"/>
          <w:w w:val="100"/>
          <w:sz w:val="21"/>
          <w:szCs w:val="21"/>
          <w:highlight w:val="none"/>
          <w:u w:val="none"/>
          <w:lang w:val="en-US" w:eastAsia="zh-CN" w:bidi="ar"/>
        </w:rPr>
        <w:t>#、</w:t>
      </w:r>
      <w:r>
        <w:rPr>
          <w:rFonts w:hint="eastAsia" w:cs="宋体"/>
          <w:color w:val="auto"/>
          <w:spacing w:val="0"/>
          <w:w w:val="100"/>
          <w:sz w:val="21"/>
          <w:szCs w:val="21"/>
          <w:highlight w:val="none"/>
          <w:u w:val="none"/>
          <w:lang w:val="en-US" w:eastAsia="zh-CN" w:bidi="ar"/>
        </w:rPr>
        <w:t>11#楼及其附属车库、临街商铺、物业用房所需塑钢门窗的材料采购、制作和安装。本次招标的门窗类型主要包括普通门窗、上悬窗、凸窗、百叶窗、阳台推拉门以及纱窗。</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材料及品牌要求：塑钢门窗的型材选用必须达到以下要求：国内上市公司生产品牌或国家知识产权局授予“驰名商标”或中国轻工业联合会评选的塑料、管材、型材类十强企业生产的产品。</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0" w:firstLineChars="200"/>
        <w:jc w:val="left"/>
        <w:textAlignment w:val="auto"/>
        <w:rPr>
          <w:rFonts w:hint="default"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本工程所采用外窗为塑料窗框(Low-E中空SuperSE-I)，6mm+12A+6mm。住户房间外窗开启部分均带纱。所有门窗五金选用优质材料,均按其相应标准图配套选用,门窗锁及把手安装前应由建设单位根据实际情况确定式样及规格。门窗玻璃的选用应遵照《建筑玻璃应用技术规程》JGJ113-2012和《建筑安全玻璃管理规定》发改运行[2003]2116号及地方主管部门的有关规定；采用安全玻璃的部位，当节能设计要求采用中空玻璃时，应采用中空安全玻璃。单块面积大于1.5㎡的窗玻璃或玻璃底边距离最终完成装饰面层的楼地面距离小于500mm的落地门窗，必须使用安全玻璃。所有距楼面高度小于900的玻璃均为安全玻璃。所有玻璃门玻璃均为安全玻璃。所有卫生间窗户的玻璃均为磨砂玻璃。凡开启窗扇均设纱窗。外墙推拉门及门连窗下部做900高塑料板，门芯板内衬30厚聚苯板。</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4、标段划分：</w:t>
      </w:r>
      <w:r>
        <w:rPr>
          <w:rFonts w:hint="eastAsia" w:asciiTheme="minorEastAsia" w:hAnsiTheme="minorEastAsia" w:eastAsiaTheme="minorEastAsia" w:cstheme="minorEastAsia"/>
          <w:bCs/>
          <w:color w:val="auto"/>
          <w:kern w:val="0"/>
          <w:sz w:val="21"/>
          <w:szCs w:val="21"/>
          <w:highlight w:val="none"/>
          <w:lang w:val="en-US" w:eastAsia="zh-CN"/>
        </w:rPr>
        <w:t>1</w:t>
      </w:r>
      <w:r>
        <w:rPr>
          <w:rFonts w:hint="eastAsia" w:asciiTheme="minorEastAsia" w:hAnsiTheme="minorEastAsia" w:eastAsiaTheme="minorEastAsia" w:cstheme="minorEastAsia"/>
          <w:bCs/>
          <w:color w:val="auto"/>
          <w:kern w:val="0"/>
          <w:sz w:val="21"/>
          <w:szCs w:val="21"/>
          <w:highlight w:val="none"/>
          <w:lang w:eastAsia="zh-CN"/>
        </w:rPr>
        <w:t>个标段。</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5、计划工期：</w:t>
      </w:r>
      <w:r>
        <w:rPr>
          <w:rFonts w:hint="eastAsia" w:asciiTheme="minorEastAsia" w:hAnsiTheme="minorEastAsia" w:eastAsiaTheme="minorEastAsia" w:cstheme="minorEastAsia"/>
          <w:bCs/>
          <w:color w:val="auto"/>
          <w:kern w:val="0"/>
          <w:sz w:val="21"/>
          <w:szCs w:val="21"/>
          <w:highlight w:val="none"/>
          <w:lang w:eastAsia="zh-CN"/>
        </w:rPr>
        <w:t>满足招标人施工节点要求，工期约90天。</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6、质量标准：</w:t>
      </w:r>
      <w:r>
        <w:rPr>
          <w:rFonts w:hint="eastAsia" w:asciiTheme="minorEastAsia" w:hAnsiTheme="minorEastAsia" w:eastAsiaTheme="minorEastAsia" w:cstheme="minorEastAsia"/>
          <w:bCs/>
          <w:color w:val="auto"/>
          <w:kern w:val="0"/>
          <w:sz w:val="21"/>
          <w:szCs w:val="21"/>
          <w:highlight w:val="none"/>
          <w:lang w:eastAsia="zh-CN"/>
        </w:rPr>
        <w:t>省级优质工程。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2"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
          <w:bCs/>
          <w:color w:val="auto"/>
          <w:kern w:val="0"/>
          <w:sz w:val="21"/>
          <w:szCs w:val="21"/>
          <w:highlight w:val="none"/>
          <w:lang w:eastAsia="zh-CN" w:bidi="ar"/>
        </w:rPr>
        <w:t>7、承包方式：</w:t>
      </w:r>
      <w:r>
        <w:rPr>
          <w:rFonts w:hint="eastAsia" w:asciiTheme="minorEastAsia" w:hAnsiTheme="minorEastAsia" w:eastAsiaTheme="minorEastAsia" w:cstheme="minorEastAsia"/>
          <w:bCs/>
          <w:color w:val="auto"/>
          <w:kern w:val="0"/>
          <w:sz w:val="21"/>
          <w:szCs w:val="21"/>
          <w:highlight w:val="none"/>
          <w:lang w:eastAsia="zh-CN"/>
        </w:rPr>
        <w:t>包工包料。</w:t>
      </w:r>
    </w:p>
    <w:p>
      <w:pPr>
        <w:keepNext w:val="0"/>
        <w:keepLines w:val="0"/>
        <w:pageBreakBefore w:val="0"/>
        <w:kinsoku/>
        <w:wordWrap/>
        <w:overflowPunct/>
        <w:topLinePunct w:val="0"/>
        <w:autoSpaceDE/>
        <w:autoSpaceDN/>
        <w:bidi w:val="0"/>
        <w:adjustRightInd/>
        <w:snapToGrid/>
        <w:spacing w:line="44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8、投标单位资格要求 </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（1）投标人具有独立法人资格，持有工商管理部门核发的法人营业执照，具备门窗安装资格；</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（2）投标人具有良好的商业信誉。</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（3）具备税务部门登记的一般纳税人资格。</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40" w:lineRule="exact"/>
        <w:ind w:firstLine="420" w:firstLineChars="200"/>
        <w:jc w:val="left"/>
        <w:textAlignment w:val="auto"/>
        <w:rPr>
          <w:rFonts w:hint="eastAsia" w:cs="宋体"/>
          <w:color w:val="auto"/>
          <w:spacing w:val="0"/>
          <w:w w:val="100"/>
          <w:sz w:val="21"/>
          <w:szCs w:val="21"/>
          <w:highlight w:val="none"/>
          <w:u w:val="none"/>
          <w:lang w:val="en-US" w:eastAsia="zh-CN" w:bidi="ar"/>
        </w:rPr>
      </w:pPr>
      <w:r>
        <w:rPr>
          <w:rFonts w:hint="eastAsia" w:cs="宋体"/>
          <w:color w:val="auto"/>
          <w:spacing w:val="0"/>
          <w:w w:val="100"/>
          <w:sz w:val="21"/>
          <w:szCs w:val="21"/>
          <w:highlight w:val="none"/>
          <w:u w:val="none"/>
          <w:lang w:val="en-US" w:eastAsia="zh-CN" w:bidi="ar"/>
        </w:rPr>
        <w:t>（4）本工程接受联合体投标，联合体各方应签订联合体协议书，明确联合体牵头人和各方权利义务；联合体各方不得再以自己名义单独或参加其他联合体在本招标项目中投标。</w:t>
      </w:r>
    </w:p>
    <w:p>
      <w:pPr>
        <w:keepNext w:val="0"/>
        <w:keepLines w:val="0"/>
        <w:pageBreakBefore w:val="0"/>
        <w:kinsoku/>
        <w:wordWrap/>
        <w:overflowPunct/>
        <w:topLinePunct w:val="0"/>
        <w:autoSpaceDE/>
        <w:autoSpaceDN/>
        <w:bidi w:val="0"/>
        <w:adjustRightInd/>
        <w:snapToGrid/>
        <w:spacing w:line="44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9、投标方式</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本次投标先在中采网（网址为：http://cnzhongcai.com）进行竞价，竞价后进行洽商谈判议价。投标人须先到项目部报名，报名时，需向项目部提交资格预审资料：法定代表人身份证明书、法定代表人授权委托书、营业执照、业绩表等相关文件复印件，加盖公章。联合体投标的，还需提供联合体协议书。如有必要，需对投标报名单位进行考察。</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资格审查结束后，确定符合要求的投标人，由招标人推荐至电子招标平台，并电话通知合格的投标人，各投标人可在电子平台进行注册、下载招标文件和进行电子投标的培训。注册时可咨询网站技术负责人。</w:t>
      </w:r>
    </w:p>
    <w:p>
      <w:pPr>
        <w:keepNext w:val="0"/>
        <w:keepLines w:val="0"/>
        <w:pageBreakBefore w:val="0"/>
        <w:kinsoku/>
        <w:wordWrap/>
        <w:overflowPunct/>
        <w:topLinePunct w:val="0"/>
        <w:autoSpaceDE/>
        <w:autoSpaceDN/>
        <w:bidi w:val="0"/>
        <w:adjustRightInd/>
        <w:snapToGrid/>
        <w:spacing w:line="44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10、报名时间及领取招标文件</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报名截止时间：2019年</w:t>
      </w:r>
      <w:r>
        <w:rPr>
          <w:rFonts w:hint="eastAsia" w:asciiTheme="minorEastAsia" w:hAnsiTheme="minorEastAsia" w:eastAsiaTheme="minorEastAsia" w:cstheme="minorEastAsia"/>
          <w:bCs/>
          <w:color w:val="auto"/>
          <w:kern w:val="0"/>
          <w:sz w:val="21"/>
          <w:szCs w:val="21"/>
          <w:highlight w:val="none"/>
          <w:lang w:val="en-US" w:eastAsia="zh-CN"/>
        </w:rPr>
        <w:t>12</w:t>
      </w:r>
      <w:r>
        <w:rPr>
          <w:rFonts w:hint="eastAsia" w:asciiTheme="minorEastAsia" w:hAnsiTheme="minorEastAsia" w:eastAsiaTheme="minorEastAsia" w:cstheme="minorEastAsia"/>
          <w:bCs/>
          <w:color w:val="auto"/>
          <w:kern w:val="0"/>
          <w:sz w:val="21"/>
          <w:szCs w:val="21"/>
          <w:highlight w:val="none"/>
          <w:lang w:eastAsia="zh-CN"/>
        </w:rPr>
        <w:t>月</w:t>
      </w:r>
      <w:r>
        <w:rPr>
          <w:rFonts w:hint="eastAsia" w:asciiTheme="minorEastAsia" w:hAnsiTheme="minorEastAsia" w:eastAsiaTheme="minorEastAsia" w:cstheme="minorEastAsia"/>
          <w:bCs/>
          <w:color w:val="auto"/>
          <w:kern w:val="0"/>
          <w:sz w:val="21"/>
          <w:szCs w:val="21"/>
          <w:highlight w:val="none"/>
          <w:lang w:val="en-US" w:eastAsia="zh-CN"/>
        </w:rPr>
        <w:t>13</w:t>
      </w:r>
      <w:r>
        <w:rPr>
          <w:rFonts w:hint="eastAsia" w:asciiTheme="minorEastAsia" w:hAnsiTheme="minorEastAsia" w:eastAsiaTheme="minorEastAsia" w:cstheme="minorEastAsia"/>
          <w:bCs/>
          <w:color w:val="auto"/>
          <w:kern w:val="0"/>
          <w:sz w:val="21"/>
          <w:szCs w:val="21"/>
          <w:highlight w:val="none"/>
          <w:lang w:eastAsia="zh-CN"/>
        </w:rPr>
        <w:t>日17:</w:t>
      </w:r>
      <w:r>
        <w:rPr>
          <w:rFonts w:hint="eastAsia" w:asciiTheme="minorEastAsia" w:hAnsiTheme="minorEastAsia" w:eastAsiaTheme="minorEastAsia" w:cstheme="minorEastAsia"/>
          <w:bCs/>
          <w:color w:val="auto"/>
          <w:kern w:val="0"/>
          <w:sz w:val="21"/>
          <w:szCs w:val="21"/>
          <w:highlight w:val="none"/>
          <w:lang w:val="en-US" w:eastAsia="zh-CN"/>
        </w:rPr>
        <w:t>00</w:t>
      </w:r>
      <w:r>
        <w:rPr>
          <w:rFonts w:hint="eastAsia" w:asciiTheme="minorEastAsia" w:hAnsiTheme="minorEastAsia" w:eastAsiaTheme="minorEastAsia" w:cstheme="minorEastAsia"/>
          <w:bCs/>
          <w:color w:val="auto"/>
          <w:kern w:val="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报名时应携带企业相关证件复印件（加盖公章）以及授权委托书。</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各投标单位经资格审查后，招标人电话通知合格的投标人进行注册，然后自行下载或向项目联系人索要招标文件、电子版图纸。</w:t>
      </w:r>
    </w:p>
    <w:p>
      <w:pPr>
        <w:keepNext w:val="0"/>
        <w:keepLines w:val="0"/>
        <w:pageBreakBefore w:val="0"/>
        <w:kinsoku/>
        <w:wordWrap/>
        <w:overflowPunct/>
        <w:topLinePunct w:val="0"/>
        <w:autoSpaceDE/>
        <w:autoSpaceDN/>
        <w:bidi w:val="0"/>
        <w:adjustRightInd/>
        <w:snapToGrid/>
        <w:spacing w:line="44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11、联系人及电话 </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项目联系人：张雨18032830099，卢方18133821015</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网站技术服务热线：0311-68020050</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网站技术负责人：赵佳男</w:t>
      </w:r>
      <w:r>
        <w:rPr>
          <w:rFonts w:hint="eastAsia" w:asciiTheme="minorEastAsia" w:hAnsiTheme="minorEastAsia" w:eastAsiaTheme="minorEastAsia" w:cstheme="minorEastAsia"/>
          <w:bCs/>
          <w:color w:val="auto"/>
          <w:kern w:val="0"/>
          <w:sz w:val="21"/>
          <w:szCs w:val="21"/>
          <w:highlight w:val="none"/>
          <w:lang w:val="en-US" w:eastAsia="zh-CN"/>
        </w:rPr>
        <w:t xml:space="preserve"> 13903113991</w:t>
      </w:r>
    </w:p>
    <w:p>
      <w:pPr>
        <w:keepNext w:val="0"/>
        <w:keepLines w:val="0"/>
        <w:pageBreakBefore w:val="0"/>
        <w:kinsoku/>
        <w:wordWrap/>
        <w:overflowPunct/>
        <w:topLinePunct w:val="0"/>
        <w:autoSpaceDE/>
        <w:autoSpaceDN/>
        <w:bidi w:val="0"/>
        <w:adjustRightInd/>
        <w:snapToGrid/>
        <w:spacing w:line="440" w:lineRule="exact"/>
        <w:ind w:firstLine="422" w:firstLineChars="200"/>
        <w:jc w:val="left"/>
        <w:textAlignment w:val="auto"/>
        <w:outlineLvl w:val="9"/>
        <w:rPr>
          <w:rFonts w:hint="eastAsia" w:asciiTheme="minorEastAsia" w:hAnsiTheme="minorEastAsia" w:eastAsiaTheme="minorEastAsia" w:cstheme="minorEastAsia"/>
          <w:b/>
          <w:bCs/>
          <w:color w:val="auto"/>
          <w:kern w:val="0"/>
          <w:sz w:val="21"/>
          <w:szCs w:val="21"/>
          <w:highlight w:val="none"/>
          <w:lang w:eastAsia="zh-CN" w:bidi="ar"/>
        </w:rPr>
      </w:pPr>
      <w:r>
        <w:rPr>
          <w:rFonts w:hint="eastAsia" w:asciiTheme="minorEastAsia" w:hAnsiTheme="minorEastAsia" w:eastAsiaTheme="minorEastAsia" w:cstheme="minorEastAsia"/>
          <w:b/>
          <w:bCs/>
          <w:color w:val="auto"/>
          <w:kern w:val="0"/>
          <w:sz w:val="21"/>
          <w:szCs w:val="21"/>
          <w:highlight w:val="none"/>
          <w:lang w:eastAsia="zh-CN" w:bidi="ar"/>
        </w:rPr>
        <w:t>12、招标监督小组成员</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河南分公司招标监督小组：王耀辉 13780318566，李刚 18033821685，许彩好15176251869</w:t>
      </w:r>
    </w:p>
    <w:p>
      <w:pPr>
        <w:keepNext w:val="0"/>
        <w:keepLines w:val="0"/>
        <w:pageBreakBefore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集团公司纪检监察部监督人员：焦玉民 18631165413</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Cs/>
          <w:color w:val="auto"/>
          <w:kern w:val="0"/>
          <w:sz w:val="21"/>
          <w:szCs w:val="21"/>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right"/>
        <w:textAlignment w:val="auto"/>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eastAsia="zh-CN"/>
        </w:rPr>
        <w:t>河北建工集团有限责任公司</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right"/>
        <w:textAlignment w:val="auto"/>
        <w:rPr>
          <w:rFonts w:hint="eastAsia" w:cs="宋体"/>
          <w:color w:val="auto"/>
          <w:spacing w:val="0"/>
          <w:w w:val="100"/>
          <w:sz w:val="21"/>
          <w:szCs w:val="21"/>
          <w:highlight w:val="none"/>
          <w:u w:val="none"/>
          <w:lang w:val="en-US" w:eastAsia="zh-CN" w:bidi="ar"/>
        </w:rPr>
      </w:pPr>
      <w:r>
        <w:rPr>
          <w:rFonts w:hint="eastAsia" w:asciiTheme="minorEastAsia" w:hAnsiTheme="minorEastAsia" w:eastAsiaTheme="minorEastAsia" w:cstheme="minorEastAsia"/>
          <w:bCs/>
          <w:color w:val="auto"/>
          <w:kern w:val="0"/>
          <w:sz w:val="21"/>
          <w:szCs w:val="21"/>
          <w:highlight w:val="none"/>
          <w:lang w:eastAsia="zh-CN"/>
        </w:rPr>
        <w:t xml:space="preserve">               2019年</w:t>
      </w:r>
      <w:r>
        <w:rPr>
          <w:rFonts w:hint="eastAsia" w:asciiTheme="minorEastAsia" w:hAnsiTheme="minorEastAsia" w:eastAsiaTheme="minorEastAsia" w:cstheme="minorEastAsia"/>
          <w:bCs/>
          <w:color w:val="auto"/>
          <w:kern w:val="0"/>
          <w:sz w:val="21"/>
          <w:szCs w:val="21"/>
          <w:highlight w:val="none"/>
          <w:lang w:val="en-US" w:eastAsia="zh-CN"/>
        </w:rPr>
        <w:t>12</w:t>
      </w:r>
      <w:r>
        <w:rPr>
          <w:rFonts w:hint="eastAsia" w:asciiTheme="minorEastAsia" w:hAnsiTheme="minorEastAsia" w:eastAsiaTheme="minorEastAsia" w:cstheme="minorEastAsia"/>
          <w:bCs/>
          <w:color w:val="auto"/>
          <w:kern w:val="0"/>
          <w:sz w:val="21"/>
          <w:szCs w:val="21"/>
          <w:highlight w:val="none"/>
          <w:lang w:eastAsia="zh-CN"/>
        </w:rPr>
        <w:t>月</w:t>
      </w:r>
      <w:r>
        <w:rPr>
          <w:rFonts w:hint="eastAsia" w:asciiTheme="minorEastAsia" w:hAnsiTheme="minorEastAsia" w:eastAsiaTheme="minorEastAsia" w:cstheme="minorEastAsia"/>
          <w:bCs/>
          <w:color w:val="auto"/>
          <w:kern w:val="0"/>
          <w:sz w:val="21"/>
          <w:szCs w:val="21"/>
          <w:highlight w:val="none"/>
          <w:lang w:val="en-US" w:eastAsia="zh-CN"/>
        </w:rPr>
        <w:t>9</w:t>
      </w:r>
      <w:r>
        <w:rPr>
          <w:rFonts w:hint="eastAsia" w:asciiTheme="minorEastAsia" w:hAnsiTheme="minorEastAsia" w:eastAsiaTheme="minorEastAsia" w:cstheme="minorEastAsia"/>
          <w:bCs/>
          <w:color w:val="auto"/>
          <w:kern w:val="0"/>
          <w:sz w:val="21"/>
          <w:szCs w:val="21"/>
          <w:highlight w:val="none"/>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9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2019-12-09T08:17:58Z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